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61 vom 1. Dezember 2025</w:t>
      </w:r>
    </w:p>
    <w:p>
      <w:r>
        <w:t>VS Kantonsgericht, 2025-12-01, FR</w:t>
      </w:r>
    </w:p>
    <w:p>
      <w:r>
        <w:rPr>
          <w:b/>
        </w:rPr>
        <w:t xml:space="preserve">Quelle: </w:t>
      </w:r>
      <w:r>
        <w:t>https://mcp.opencaselaw.ch/entscheid/vs_gerichte_S1 24 61</w:t>
      </w:r>
    </w:p>
    <w:p>
      <w:r>
        <w:t>FR: VS_GERICHTE S1 24 61 du 1 décembre 2025</w:t>
      </w:r>
    </w:p>
    <w:p>
      <w:r>
        <w:t>IT: VS_GERICHTE S1 24 61 del 1 dicembre 2025</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4 avril 2024, le présent recours à l’encontre de la décision du 4 mars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c’est le nouveau droit qui est applicable, compte tenu de la date de la décision litigieuse et des faits juridiquement déterminants, qui sont postérieurs au 31 décembre 2021.</w:t>
      </w:r>
    </w:p>
    <w:p>
      <w:r>
        <w:rPr>
          <w:b/>
        </w:rPr>
        <w:t>E. 2.1</w:t>
      </w:r>
    </w:p>
    <w:p>
      <w:r>
        <w:t>Le litige porte sur le point de savoir si le recourant peut prétendre au maintien de sa demi-rente d’invalidité au-delà du 31 janvier 2023.</w:t>
      </w:r>
    </w:p>
    <w:p>
      <w:r>
        <w:rPr>
          <w:b/>
        </w:rPr>
        <w:t>E. 2.2</w:t>
      </w:r>
    </w:p>
    <w:p>
      <w:r>
        <w:t>A teneur de l'article 17 alinéa 1 LPGA,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(art. 17 al. 2 LPGA).</w:t>
      </w:r>
    </w:p>
    <w:p>
      <w:r>
        <w:t>- 10 -</w:t>
      </w:r>
    </w:p>
    <w:p>
      <w:r>
        <w:rPr>
          <w:b/>
        </w:rPr>
        <w:t>E. 2.2.1</w:t>
      </w:r>
    </w:p>
    <w:p>
      <w:r>
        <w:t>Tout changement important des circonstances, propre à influencer le degré d'invalidité, et donc le droit à la rente, peut motiver une révision selon l'article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l'article 17 LPGA doit clairement ressortir du dossier. La réglementation sur la révision ne saurait en effet constituer un fondement juridique à un réexamen sans condition du droit à la rente (arrêt du Tribunal fédéral I 111/07 du 17 décembre 2007 consid. 3 et les références).</w:t>
      </w:r>
    </w:p>
    <w:p>
      <w:r>
        <w:rPr>
          <w:b/>
        </w:rPr>
        <w:t>E. 2.2.2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Selon la jurisprudence, en cas d'octroi rétroactif d'une rente d'invalidité échelonnée ou limitée dans le temps, outre la disposition de révision de l'article 17 alinéa 1 LPGA, la règle de l'article 88a alinéa 1 RAI concernant la modification du droit aux prestations en</w:t>
      </w:r>
    </w:p>
    <w:p>
      <w:r>
        <w:t>- 11 - cas d'amélioration de la capacité de gain s'applique par analogie lorsqu'un changement influant sur le droit aux prestations est survenu avant la première décision de rente (arrêt du Tribunal fédéral 8C_94/2013 du 8 juillet 2013 consid. 4.1). Dans le cas de l'octroi rétroactif d'une rente temporaire ou échelonnée, les bases de comparaison déterminantes sont, d'une part, la date du début du droit à la rente et, d'autre part, la date de la modification du droit à la rente compte tenu du délai de trois mois de l'article 88a RAI (arrêt du Tribunal fédéral 8C_51/2024 du 2 juillet 2024 consid. 2.4 et les références). L'article 88a alinéa 1 RAI prévoit que si la capacité de gain s'améliore, ce changement n'est déterminant pour la suppression de toute ou partie du droit aux prestations qu'à partir du moment où l'on peut s'attendre à ce que l'amélioration constatée se maintienne durant une assez longue période (1ère phrase). Il en va de même lorsqu'un tel changement déterminant a duré trois mois déjà, sans interruption notable et sans qu'une complication prochaine soit à craindre (2ème phrase). En règle générale, il convient d'examiner pour l'avenir (pro futuro) si une amélioration de la capacité de gain est susceptible de durer longtemps (arrêt du Tribunal fédéral 8C_36/2019 du 30 avril 2019 consid. 5 et les arrêts cités).</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LAI et 49 RAI ; cf. Circulaire sur l’invalidité et l’impotence dans l’assurance-invalidité [CIIAI], ch. 1001 ss). Selon l’article 54a alinéa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(art. 54a al. 3 LAI), en tenant compte, qualitativement et quantitativement, de toutes les ressources et limitations physiques,</w:t>
      </w:r>
    </w:p>
    <w:p>
      <w:r>
        <w:t>- 12 - mentales ou psychiques (art. 49 al. 1bis RAI). Ils sont indépendants dans l’évaluation médicale des cas d’espèce (art. 54a al. 4 LAI).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w:t>
      </w:r>
    </w:p>
    <w:p>
      <w:r>
        <w:t>- 13 - dans un litige (ATF 135 V 465 consid. 4.5 ; arrêt du Tribunal fédéral 8C_198/2020 du 28 septembre 2020 consid. 2.1.2).</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w:t>
      </w:r>
    </w:p>
    <w:p>
      <w:r>
        <w:rPr>
          <w:b/>
        </w:rPr>
        <w:t>E. 2.5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2.6</w:t>
      </w:r>
    </w:p>
    <w:p>
      <w:r>
        <w:t>Selon la jurisprudence du Tribunal fédéral, l’assureur-accidents est fondé à procéder à sa propre évaluation de l’invalidité, indépendamment de la décision de l’office de l’assurance-invalidité (ATF 131 V 362 consid. 2.3 ; arrêts du Tribunal fédéral 8C_195/2013 du 15 octobre 2013 consid. 4.1 et 9C_813/2012 du 18 mars 2013 consid. 3.4). L’uniformité de la notion d’invalidité n’a pas pour conséquence de libérer chacune de ces assurances de l’obligation de procéder dans chaque cas et de manière indépendante à l’évaluation de l’invalidité (ATF 131 V 362 consid. 2.2.1, 126 V 288 consid. 2a et 2d, 119 V 471 consid. 4a ; Pratique VSI 2004 p. 185 consid. 3 ; arrêt du</w:t>
      </w:r>
    </w:p>
    <w:p>
      <w:r>
        <w:t>- 14 - Tribunal fédéral des assurances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arrêt du Tribunal fédéral des assurances I 766/04 du 7 juin 2005 consid. 4). Il faut en outre tenir compte du fait que l’assureur- accidents ne répond que des conséquences des atteintes à la santé qui sont en relation de causalité naturelle et adéquate avec l’accident assuré. C’est pourquoi l’évaluation de l’invalidité par les organes de l’assurance-accidents n’a pas de force contraignante pour l’assurance-invalidité, et inversement (ATF 133 V 549 consid. 6 et 131 V 362 consid. 2).</w:t>
      </w:r>
    </w:p>
    <w:p>
      <w:r>
        <w:rPr>
          <w:b/>
        </w:rPr>
        <w:t>E. 3.1</w:t>
      </w:r>
    </w:p>
    <w:p>
      <w:r>
        <w:t>En application de la jurisprudence précitée (arrêt du Tribunal fédéral 8C_51/2024 du 2 juillet 2024 consid. 2.4 et les références), il convient de comparer la situation telle qu’elle se présentait au moment de la naissance du droit à la rente, soit en mars 2022, avec celle qui existait le 1er février 2023, soit à l’issue du délai de trois mois à compter de la modification de l’état de fait survenue en novembre 2022.</w:t>
      </w:r>
    </w:p>
    <w:p>
      <w:r>
        <w:rPr>
          <w:b/>
        </w:rPr>
        <w:t>E. 3.2</w:t>
      </w:r>
    </w:p>
    <w:p>
      <w:r>
        <w:t>Après avoir requis les pièces médicales du dossier de la CNA, notamment les avis des Drs K _________ et L _________, tous deux spécialistes FMH en chirurgie orthopédique et traumatologie et médecins d’arrondissement, concluant que l’assuré présentait une pleine capacité de travail dans une activité adaptée (pas d’exposition au froid, pas d’activités engendrant des chocs ou des vibrations, pas d’activités nécessitant de la force de préhension avec la main gauche, pas de port de charges moyennes, pas de port de charges légères de manière continue ou répétitive et activité mono-manuelle à privilégier, le MSG ne pouvant servir que d’une main d’appui), l’OAI a sollicité l’avis de son SMR. Dans un rapport final du 2 mars 2023, complété et confirmé les 11 août et 28 septembre suivant pour tenir compte des nouveaux documents médicaux produits (not. documents consécutifs à l’accident du 6 mai 2023 et rapport du 30 mai 2023 de la Dresse B _________), le Dr M _________, spécialiste en chirurgie orthopédique et traumatologie ainsi qu’en médecine physique et réadaptation auprès du SMR, a conclu qu’une pleine capacité de travail était exigible de l’assuré dès le 1er novembre 2022 dans une activité adaptée (port de charges limité à 10 kg avec les deux mains, pas de travaux lourds, pas d’exposition au froid, pas d’activités engendrant des chocs ou des vibrations,</w:t>
      </w:r>
    </w:p>
    <w:p>
      <w:r>
        <w:t>- 15 - pas d’activités nécessitant de la force de préhension avec la main gauche, pas de port de charges supérieures à 5 kg, respectivement de 3 kg de manière continue ou répétitive, avec le MSG, activité mono-manuelle à privilégier, le membre supérieur gauche ne pouvant servir que de main d’appui), l’activité habituelle de coursier n’étant pas des plus adaptée. Suivant ce rapport, l’OAI a nié tout droit de l’intéressé à des mesures d’ordre professionnel et lui a octroyé une demi-rente d’invalidité pour la période limitée du 1er mars 2022 au 31 janvier 2023. Si le raisonnement qui sous-tend l’octroi d’une demi- rente d’invalidité n’est pas mis en cause, il n’en va pas de même pour la période postérieure au 31 janvier 2023, le recourant contestant avoir une pleine capacité de travail dans une activité adaptée telle que reconnue par le Dr M _________ dans son rapport final du 2 mars 2023. Il convient donc d’examiner la valeur probante intrinsèque de ce rapport. Ce dernier constitue un rapport au sens de l’article 54a LAI (en corrélation avec l’art. 49 al. 1 RAI), dans la mesure où il ne repose pas sur des observations cliniques auxquelles le SMR aurait procédé, mais sur une appréciation fondée exclusivement sur une analyse des documents médicaux versés au dossier. Dans cette mesure, il se distingue d’une expertise mais on ne saurait toutefois d’emblée lui dénier toute valeur probante. Il convient plutôt d’examiner objectivement tous les documents à disposition afin de pouvoir décider s’ils permettent de porter un jugement valable (arrêts du Tribunal fédéral 9C_542/2011 précité et I 143/07 du 14 septembre 2007 consid. 3.3).</w:t>
      </w:r>
    </w:p>
    <w:p>
      <w:r>
        <w:rPr>
          <w:b/>
        </w:rPr>
        <w:t>E. 3.3</w:t>
      </w:r>
    </w:p>
    <w:p>
      <w:r>
        <w:t>A l’examen du dossier, il apparaît que, dans son rapport final du 2 mars 2023, complété le 11 août et le 28 septembre suivant à l’issue de la procédure d’audition ainsi que le 8 mai 2024 dans le cadre du recours déposé céans, le SMR a repris les différents avis médicaux versés au dossier depuis la nouvelle demande, notamment ceux du Dr I _________ (rapports du 12 octobre et 1er décembre 2023 et du 9 février et 26 mars 2024) et de la Dresse B _________ (rapports du 30 mai 2023 et 8 septembre suivant), avant de discuter les diagnostics retenus par les autres médecins qui s’étaient occupés du recourant. Ce faisant, le Dr M _________ a décrit d’une manière détaillée et motivée les raisons pour lesquelles une pleine capacité de travail était exigible de l’intéressé dès le 1er novembre 2022 dans une activité adaptée (port de charges limité à 10 kg avec les deux mains, pas de travaux lourds, pas d’exposition au froid, pas d’activités engendrant des chocs ou des vibrations, pas d’activités nécessitant de la force de préhension avec la main gauche, pas de port de charges supérieures à 5 kg, respectivement de 3 kg de manière continue ou répétitive avec le membre supérieur gauche, activité mono-</w:t>
      </w:r>
    </w:p>
    <w:p>
      <w:r>
        <w:t>- 16 - manuelle à privilégier, le membre supérieur gauche ne pouvant servir que de main d’appui), à savoir car cette date correspondait de facto à celle à laquelle le recourant avait repris son activité habituelle de coursier motorisé à son taux habituel et parce qu’aucune des limitations susmentionnées n’était susceptible d’interférer avec la capacité de travail dans une activité légère et adaptée. A cet égard, la Cour relève que s’il est vrai que le Dr M _________ avait initialement considéré que l’activité habituelle n’était pas des plus adaptée, avant d’estimer qu’elle était exigible, ce médecin a expliqué avec précision les raisons l’ayant mené à cette dernière conclusion, à savoir qu’il envisageait que cette activité impliquât la conduite d’un véhicule à deux roues, alors qu’il s’agissait en fait de conduire un véhicule léger, ce qui s’avérait compatible avec les limitations du recourant. Le rapport du Dr M _________, et ses compléments, fondés sur l’ensemble des pièces médicales présentes au dossier, bénéficient ainsi d’une pleine valeur probante permettant à l’OAI et à la Cour de céans de porter un jugement valable sur l’affaire. Il n’était par ailleurs pas nécessaire que le SMR examinât personnellement l’assuré, la situation médicale étant essentiellement établie, de sorte qu’un examen médical direct de l’intéressé passait au second plan (arrêts du Tribunal fédéral 9C_589/2010 du 8 septembre 2010 consid. 2 ; 9C_323/2009 du 22 mai 2009 consid. 4.2 et 4.3). S’agissant des rapports du Dr I _________ des 12 octobre et 1er décembre 2023 ainsi que des 9 février et 26 mars 2024, partiellement postérieurs à la décision litigieuse mais devant être pris en compte au sens de la jurisprudence constante (cf. supra consid. 2.5), ils ne sont d’aucun secours au recourant. En effet, outre le fait que ces rapports ont été dûment pris en considération par le Dr M _________, il appert que le Dr I _________ ne se prononce pas sur la capacité de travail de l’assuré dans une activité adaptée, mais se contente d’indiquer que ce dernier continuait à exercer son activité de coursier à 50 % malgré la persistance de douleurs. Il en va de même des rapports de la Dresse B _________ des 30 mai et 8 septembre 2023, dans lesquels celle-ci ne fait qu’émettre des doutes quant à la possibilité pour son patient de reprendre une activité à 100 %, sans toutefois expliquer en quoi l’exigibilité posée par le SMR serait erronée ni retenir de limitations fonctionnelles supplémentaires, à l’exception d’une fatigabilité au niveau de la main gauche. Il est à cet égard rappelé que le SDRC a bien été pris en compte par le SMR non seulement en tant que diagnostic mais également s’agissant des limitations fonctionnelles retenues. Quant aux certificats médicaux de la Dresse B _________ attestant une incapacité de travail de 50 % du 1er novembre 2023 au 30 avril 2024, force est de constater leur caractère extrêmement succinct et l’absence de précision relative aux raisons du taux d’incapacité retenu. Les rapports des Drs I _________ et</w:t>
      </w:r>
    </w:p>
    <w:p>
      <w:r>
        <w:t>- 17 - B _________ ne sont ainsi pas de nature à mettre en doute les conclusions dûment motivées du Dr M _________, dont le rapport final présente une pleine valeur probante (cf. supra paragraphe précédent). Cela vaut d’autant plus compte tenu de la jurisprudence relative aux rapports émis par les médecins traitants, rappelée ci-dessus (cf. supra consid. 2.3). Enfin, l’argument du recourant selon lequel la position de l’OAI serait contraire à celle de la CNA, cette dernière considérant que l’activité de coursier motorisé n’était plus exigible et lui ayant versé des indemnités journalières jusqu’au 31 mai 2024, tombe à faux dès lors que l’évaluation de l’invalidité par les organes de l’assurance-accidents n’a pas de force contraignante pour l’assurance-invalidité, et inversement (cf. supra consid. 2.6). En tout état de cause, la Cour relève que tant l’OAI que la CNA sont arrivés à la conclusion que le recourant disposait d’une pleine capacité de travail dans une activité légère et adaptée tenant compte de l’atteinte à son membre supérieur gauche, de sorte que ces positions ne sauraient être qualifiées de diamétralement opposées.</w:t>
      </w:r>
    </w:p>
    <w:p>
      <w:r>
        <w:rPr>
          <w:b/>
        </w:rPr>
        <w:t>E. 3.4</w:t>
      </w:r>
    </w:p>
    <w:p>
      <w:r>
        <w:t>Sur la base des éléments qui précédent, il n’existe aucun motif pour mettre en doute la valeur probante de l’avis du SMR, ce dernier étant complet, détaillé, motivé et reprenant l’entier des avis médicaux émis, en particulier ceux des médecins traitants de l’assuré. Le dossier est ainsi suffisamment complet pour qu’un jugement puisse être rendu sur la base de celui-ci (sur l’appréciation anticipée des preuves : ATF 145 I 167 consid. 4.1). Partant, une pleine capacité de travail, dans une activité adaptée, doit être reconnue au recourant dès le 1er novembre 2022, de sorte que l’OAI a correctement limité la demi-rente d’invalidité qu’il lui versait au 31 janvier 2023, soit trois mois après la date à laquelle il ne présentait plus d’invalidité. Dans ces circonstances, le recours du 4 avril 2024 est rejeté et la décision de l’OAI du 4 mars précédent confirmée.</w:t>
      </w:r>
    </w:p>
    <w:p>
      <w:r>
        <w:rPr>
          <w:b/>
        </w:rPr>
        <w:t>E. 4.1</w:t>
      </w:r>
    </w:p>
    <w:p>
      <w:r>
        <w:t>Les frais de justice, arrêtés à 500 francs selon les principes de la couverture des coûts et de l’équivalence des prestations, sont mis à la charge du recourant qui succombe (art. 61 let. fbis LPGA et art. 69 al. 1bis LAI), le montant étant compensé par l’avance de frais, d’un montant équivalent, déjà versée.</w:t>
      </w:r>
    </w:p>
    <w:p>
      <w:r>
        <w:rPr>
          <w:b/>
        </w:rPr>
        <w:t>E. 4.2</w:t>
      </w:r>
    </w:p>
    <w:p>
      <w:r>
        <w:t>Le recourant n’ayant pas gain de cause, il ne lui est pas alloué de dépens (art. 61 let. g LPGA a contrario), ni d’ailleurs à l’office intimé (art. 91 al. 3 LPJA).</w:t>
      </w:r>
    </w:p>
    <w:p>
      <w:r>
        <w:t>- 18 - Prononce</w:t>
      </w:r>
    </w:p>
    <w:p>
      <w:r>
        <w:t>1. Le recours est rejeté. 2. Les frais, par 500 francs, sont mis à la charge de X _________. 3. Il n’est pas alloué de dépens. Sion, le 1er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